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62B7E188" w14:textId="6563668A" w:rsidR="00C43CB2" w:rsidRDefault="00CD4A76" w:rsidP="006C6F57">
      <w:pPr>
        <w:tabs>
          <w:tab w:val="left" w:pos="2529"/>
          <w:tab w:val="right" w:pos="7377"/>
        </w:tabs>
        <w:rPr>
          <w:lang w:val="en-US"/>
        </w:rPr>
      </w:pPr>
      <w:r w:rsidRPr="00165AE8">
        <w:rPr>
          <w:noProof/>
        </w:rPr>
        <w:drawing>
          <wp:anchor distT="0" distB="0" distL="114300" distR="114300" simplePos="0" relativeHeight="251661312" behindDoc="0" locked="0" layoutInCell="1" allowOverlap="1" wp14:anchorId="41982178" wp14:editId="2C93CA87">
            <wp:simplePos x="0" y="0"/>
            <wp:positionH relativeFrom="column">
              <wp:posOffset>3297555</wp:posOffset>
            </wp:positionH>
            <wp:positionV relativeFrom="paragraph">
              <wp:posOffset>7620</wp:posOffset>
            </wp:positionV>
            <wp:extent cx="1136650" cy="1358900"/>
            <wp:effectExtent l="0" t="0" r="6350" b="0"/>
            <wp:wrapNone/>
            <wp:docPr id="220" name="Picture 22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9BBE834" wp14:editId="6037E56E">
            <wp:simplePos x="0" y="0"/>
            <wp:positionH relativeFrom="column">
              <wp:posOffset>738505</wp:posOffset>
            </wp:positionH>
            <wp:positionV relativeFrom="paragraph">
              <wp:posOffset>1271</wp:posOffset>
            </wp:positionV>
            <wp:extent cx="1354455" cy="1339850"/>
            <wp:effectExtent l="0" t="0" r="0" b="0"/>
            <wp:wrapNone/>
            <wp:docPr id="218" name="Picture 218" descr="Une image contenant texte, clipart, porcela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lipart, porcelai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73B6853" wp14:editId="136D4853">
            <wp:simplePos x="0" y="0"/>
            <wp:positionH relativeFrom="column">
              <wp:posOffset>2154555</wp:posOffset>
            </wp:positionH>
            <wp:positionV relativeFrom="paragraph">
              <wp:posOffset>1270</wp:posOffset>
            </wp:positionV>
            <wp:extent cx="1122045" cy="1358900"/>
            <wp:effectExtent l="0" t="0" r="1905" b="0"/>
            <wp:wrapNone/>
            <wp:docPr id="219" name="Picture 2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CB2" w:rsidRPr="00EE7ACB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F7E6EA" wp14:editId="7818C144">
            <wp:simplePos x="0" y="0"/>
            <wp:positionH relativeFrom="column">
              <wp:posOffset>-704850</wp:posOffset>
            </wp:positionH>
            <wp:positionV relativeFrom="paragraph">
              <wp:posOffset>6350</wp:posOffset>
            </wp:positionV>
            <wp:extent cx="1327150" cy="1320165"/>
            <wp:effectExtent l="0" t="0" r="0" b="0"/>
            <wp:wrapSquare wrapText="bothSides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E8" w:rsidRPr="00B00BA5">
        <w:tab/>
      </w:r>
    </w:p>
    <w:p w14:paraId="0AD9D2DC" w14:textId="031A90C5" w:rsidR="00C43CB2" w:rsidRDefault="00057E5B" w:rsidP="006C6F57">
      <w:pPr>
        <w:tabs>
          <w:tab w:val="left" w:pos="2529"/>
          <w:tab w:val="right" w:pos="7377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B07D3B" wp14:editId="2A6CDD50">
            <wp:simplePos x="0" y="0"/>
            <wp:positionH relativeFrom="column">
              <wp:posOffset>4434205</wp:posOffset>
            </wp:positionH>
            <wp:positionV relativeFrom="paragraph">
              <wp:posOffset>71120</wp:posOffset>
            </wp:positionV>
            <wp:extent cx="1530350" cy="552450"/>
            <wp:effectExtent l="0" t="0" r="0" b="0"/>
            <wp:wrapNone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preview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24" cy="55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34CE0C" wp14:editId="5ED15A1B">
            <wp:extent cx="1828800" cy="518160"/>
            <wp:effectExtent l="0" t="0" r="0" b="0"/>
            <wp:docPr id="222" name="Picture 22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preview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7B14" w14:textId="49EFC01B" w:rsidR="00C43CB2" w:rsidRDefault="00C43CB2" w:rsidP="006C6F57">
      <w:pPr>
        <w:tabs>
          <w:tab w:val="left" w:pos="2529"/>
          <w:tab w:val="right" w:pos="7377"/>
        </w:tabs>
        <w:rPr>
          <w:lang w:val="en-US"/>
        </w:rPr>
      </w:pPr>
    </w:p>
    <w:p w14:paraId="68DB479B" w14:textId="4DDA24F9" w:rsidR="00C43CB2" w:rsidRDefault="00C43CB2" w:rsidP="006C6F57">
      <w:pPr>
        <w:tabs>
          <w:tab w:val="left" w:pos="2529"/>
          <w:tab w:val="right" w:pos="7377"/>
        </w:tabs>
        <w:rPr>
          <w:lang w:val="en-US"/>
        </w:rPr>
      </w:pPr>
    </w:p>
    <w:p w14:paraId="7D6312D4" w14:textId="77777777" w:rsidR="004116F7" w:rsidRDefault="004116F7" w:rsidP="005E53A0">
      <w:pPr>
        <w:rPr>
          <w:b/>
          <w:bCs/>
          <w:color w:val="C00000"/>
          <w:sz w:val="36"/>
          <w:szCs w:val="36"/>
          <w:u w:val="single"/>
          <w:lang w:val="fr"/>
        </w:rPr>
      </w:pPr>
    </w:p>
    <w:p w14:paraId="5CD6422E" w14:textId="2AF10F60" w:rsidR="004116F7" w:rsidRPr="007503D6" w:rsidRDefault="00024841" w:rsidP="004116F7">
      <w:pPr>
        <w:jc w:val="center"/>
        <w:rPr>
          <w:b/>
          <w:bCs/>
          <w:color w:val="806000" w:themeColor="accent4" w:themeShade="80"/>
          <w:sz w:val="56"/>
          <w:szCs w:val="56"/>
          <w:u w:val="single"/>
        </w:rPr>
      </w:pPr>
      <w:r w:rsidRPr="00024841">
        <w:rPr>
          <w:b/>
          <w:bCs/>
          <w:color w:val="806000" w:themeColor="accent4" w:themeShade="80"/>
          <w:sz w:val="56"/>
          <w:szCs w:val="56"/>
          <w:u w:val="single"/>
        </w:rPr>
        <w:t>"Nota de síntese"</w:t>
      </w:r>
    </w:p>
    <w:p w14:paraId="22B5BF98" w14:textId="482FF171" w:rsidR="004116F7" w:rsidRPr="007503D6" w:rsidRDefault="004116F7" w:rsidP="004116F7">
      <w:pPr>
        <w:jc w:val="center"/>
        <w:rPr>
          <w:b/>
          <w:bCs/>
          <w:color w:val="1F4E79" w:themeColor="accent5" w:themeShade="80"/>
          <w:sz w:val="36"/>
          <w:szCs w:val="36"/>
          <w:u w:val="single"/>
        </w:rPr>
      </w:pPr>
      <w:r>
        <w:rPr>
          <w:b/>
          <w:bCs/>
          <w:color w:val="1F4E79" w:themeColor="accent5" w:themeShade="80"/>
          <w:sz w:val="36"/>
          <w:szCs w:val="36"/>
          <w:u w:val="single"/>
        </w:rPr>
        <w:t>"</w:t>
      </w:r>
      <w:r w:rsidRPr="00CD4A76">
        <w:rPr>
          <w:b/>
          <w:bCs/>
          <w:color w:val="1F4E79" w:themeColor="accent5" w:themeShade="80"/>
          <w:sz w:val="36"/>
          <w:szCs w:val="36"/>
          <w:u w:val="single"/>
          <w:vertAlign w:val="superscript"/>
        </w:rPr>
        <w:t>1º</w:t>
      </w:r>
      <w:r>
        <w:rPr>
          <w:b/>
          <w:bCs/>
          <w:color w:val="1F4E79" w:themeColor="accent5" w:themeShade="80"/>
          <w:sz w:val="36"/>
          <w:szCs w:val="36"/>
          <w:u w:val="single"/>
        </w:rPr>
        <w:t xml:space="preserve"> Encontro</w:t>
      </w:r>
      <w:r w:rsidRPr="00520950">
        <w:rPr>
          <w:b/>
          <w:bCs/>
          <w:color w:val="1F4E79" w:themeColor="accent5" w:themeShade="80"/>
          <w:sz w:val="36"/>
          <w:szCs w:val="36"/>
          <w:u w:val="single"/>
        </w:rPr>
        <w:t xml:space="preserve"> de </w:t>
      </w:r>
      <w:r w:rsidR="00CD4A76">
        <w:rPr>
          <w:b/>
          <w:bCs/>
          <w:color w:val="1F4E79" w:themeColor="accent5" w:themeShade="80"/>
          <w:sz w:val="36"/>
          <w:szCs w:val="36"/>
          <w:u w:val="single"/>
        </w:rPr>
        <w:t>Mulheres</w:t>
      </w:r>
      <w:r>
        <w:t xml:space="preserve"> </w:t>
      </w:r>
      <w:r w:rsidR="007503D6" w:rsidRPr="007503D6">
        <w:rPr>
          <w:b/>
          <w:bCs/>
          <w:color w:val="1F4E79" w:themeColor="accent5" w:themeShade="80"/>
          <w:sz w:val="36"/>
          <w:szCs w:val="36"/>
          <w:u w:val="single"/>
        </w:rPr>
        <w:t xml:space="preserve">Juízes </w:t>
      </w:r>
      <w:r w:rsidR="00CD4A76" w:rsidRPr="00520950">
        <w:rPr>
          <w:b/>
          <w:bCs/>
          <w:color w:val="1F4E79" w:themeColor="accent5" w:themeShade="80"/>
          <w:sz w:val="36"/>
          <w:szCs w:val="36"/>
          <w:u w:val="single"/>
        </w:rPr>
        <w:t>Africanas</w:t>
      </w:r>
      <w:r>
        <w:rPr>
          <w:b/>
          <w:bCs/>
          <w:color w:val="1F4E79" w:themeColor="accent5" w:themeShade="80"/>
          <w:sz w:val="36"/>
          <w:szCs w:val="36"/>
          <w:u w:val="single"/>
        </w:rPr>
        <w:t>"</w:t>
      </w:r>
      <w:r w:rsidRPr="00CD4A76">
        <w:rPr>
          <w:b/>
          <w:bCs/>
          <w:color w:val="1F4E79" w:themeColor="accent5" w:themeShade="80"/>
          <w:sz w:val="36"/>
          <w:szCs w:val="36"/>
          <w:u w:val="single"/>
        </w:rPr>
        <w:t xml:space="preserve"> </w:t>
      </w:r>
    </w:p>
    <w:p w14:paraId="3183FEBD" w14:textId="77777777" w:rsidR="004116F7" w:rsidRPr="007503D6" w:rsidRDefault="004116F7" w:rsidP="004116F7">
      <w:pPr>
        <w:jc w:val="center"/>
        <w:rPr>
          <w:b/>
          <w:bCs/>
          <w:color w:val="C00000"/>
          <w:sz w:val="36"/>
          <w:szCs w:val="36"/>
          <w:u w:val="single"/>
        </w:rPr>
      </w:pPr>
      <w:r w:rsidRPr="00520950">
        <w:rPr>
          <w:b/>
          <w:bCs/>
          <w:color w:val="C00000"/>
          <w:sz w:val="36"/>
          <w:szCs w:val="36"/>
          <w:u w:val="single"/>
        </w:rPr>
        <w:t xml:space="preserve">Libreville, Gabão, de </w:t>
      </w:r>
      <w:r>
        <w:rPr>
          <w:b/>
          <w:bCs/>
          <w:color w:val="C00000"/>
          <w:sz w:val="36"/>
          <w:szCs w:val="36"/>
          <w:u w:val="single"/>
        </w:rPr>
        <w:t>02</w:t>
      </w:r>
      <w:r w:rsidRPr="00520950">
        <w:rPr>
          <w:b/>
          <w:bCs/>
          <w:color w:val="C00000"/>
          <w:sz w:val="36"/>
          <w:szCs w:val="36"/>
          <w:u w:val="single"/>
        </w:rPr>
        <w:t xml:space="preserve"> a </w:t>
      </w:r>
      <w:r>
        <w:rPr>
          <w:b/>
          <w:bCs/>
          <w:color w:val="C00000"/>
          <w:sz w:val="36"/>
          <w:szCs w:val="36"/>
          <w:u w:val="single"/>
        </w:rPr>
        <w:t>06</w:t>
      </w:r>
      <w:r w:rsidRPr="00520950">
        <w:rPr>
          <w:b/>
          <w:bCs/>
          <w:color w:val="C00000"/>
          <w:sz w:val="36"/>
          <w:szCs w:val="36"/>
          <w:u w:val="single"/>
        </w:rPr>
        <w:t xml:space="preserve"> de maio de 2023</w:t>
      </w:r>
    </w:p>
    <w:p w14:paraId="46488292" w14:textId="77777777" w:rsidR="005E53A0" w:rsidRPr="007503D6" w:rsidRDefault="004116F7" w:rsidP="004116F7">
      <w:pPr>
        <w:jc w:val="center"/>
        <w:rPr>
          <w:b/>
          <w:bCs/>
          <w:color w:val="833C0B" w:themeColor="accent2" w:themeShade="80"/>
          <w:sz w:val="36"/>
          <w:szCs w:val="36"/>
          <w:u w:val="single"/>
        </w:rPr>
      </w:pPr>
      <w:r w:rsidRPr="00520950">
        <w:rPr>
          <w:b/>
          <w:bCs/>
          <w:color w:val="833C0B" w:themeColor="accent2" w:themeShade="80"/>
          <w:sz w:val="36"/>
          <w:szCs w:val="36"/>
          <w:u w:val="single"/>
        </w:rPr>
        <w:t>Organizado conjuntamente por</w:t>
      </w:r>
      <w:r w:rsidR="005E53A0">
        <w:rPr>
          <w:b/>
          <w:bCs/>
          <w:color w:val="833C0B" w:themeColor="accent2" w:themeShade="80"/>
          <w:sz w:val="36"/>
          <w:szCs w:val="36"/>
          <w:u w:val="single"/>
        </w:rPr>
        <w:t>:</w:t>
      </w:r>
    </w:p>
    <w:p w14:paraId="2FD06E4E" w14:textId="2C7CAEBE" w:rsidR="004116F7" w:rsidRPr="007503D6" w:rsidRDefault="004116F7" w:rsidP="004116F7">
      <w:pPr>
        <w:jc w:val="center"/>
        <w:rPr>
          <w:b/>
          <w:bCs/>
          <w:color w:val="2E74B5" w:themeColor="accent5" w:themeShade="BF"/>
          <w:sz w:val="32"/>
          <w:szCs w:val="32"/>
          <w:u w:val="single"/>
        </w:rPr>
      </w:pPr>
      <w:r w:rsidRPr="005E53A0">
        <w:rPr>
          <w:b/>
          <w:bCs/>
          <w:color w:val="2E74B5" w:themeColor="accent5" w:themeShade="BF"/>
          <w:sz w:val="32"/>
          <w:szCs w:val="32"/>
          <w:u w:val="single"/>
        </w:rPr>
        <w:t xml:space="preserve"> a Conferência das Jurisdições Constitucionais Africanas (CJCA) e o Tribunal Constitucional da República Gabonesa</w:t>
      </w:r>
    </w:p>
    <w:p w14:paraId="6A247169" w14:textId="70E03734" w:rsidR="004116F7" w:rsidRPr="007503D6" w:rsidRDefault="004116F7" w:rsidP="004116F7">
      <w:pPr>
        <w:jc w:val="center"/>
        <w:rPr>
          <w:b/>
          <w:bCs/>
          <w:color w:val="538135" w:themeColor="accent6" w:themeShade="BF"/>
          <w:sz w:val="32"/>
          <w:szCs w:val="32"/>
          <w:u w:val="single"/>
        </w:rPr>
      </w:pPr>
      <w:r w:rsidRPr="005E53A0">
        <w:rPr>
          <w:b/>
          <w:bCs/>
          <w:color w:val="538135" w:themeColor="accent6" w:themeShade="BF"/>
          <w:sz w:val="32"/>
          <w:szCs w:val="32"/>
          <w:u w:val="single"/>
        </w:rPr>
        <w:t>Com o apoio do PNUD, da ONU DC e da ONU Mulheres</w:t>
      </w:r>
    </w:p>
    <w:p w14:paraId="131FC980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  <w:sz w:val="28"/>
          <w:szCs w:val="28"/>
        </w:rPr>
      </w:pPr>
    </w:p>
    <w:p w14:paraId="4581ECBF" w14:textId="77777777" w:rsidR="004116F7" w:rsidRDefault="004116F7" w:rsidP="004116F7">
      <w:pPr>
        <w:numPr>
          <w:ilvl w:val="0"/>
          <w:numId w:val="3"/>
        </w:numPr>
        <w:spacing w:after="200" w:line="276" w:lineRule="auto"/>
        <w:ind w:left="426" w:hanging="426"/>
        <w:contextualSpacing/>
        <w:jc w:val="both"/>
        <w:rPr>
          <w:rFonts w:ascii="Tahoma" w:eastAsia="Calibri" w:hAnsi="Tahoma" w:cs="Tahoma"/>
          <w:b/>
          <w:sz w:val="24"/>
          <w:szCs w:val="24"/>
          <w:lang w:val="fr-FR"/>
        </w:rPr>
      </w:pPr>
      <w:r w:rsidRPr="008A0801">
        <w:rPr>
          <w:b/>
          <w:sz w:val="24"/>
          <w:szCs w:val="24"/>
          <w:u w:val="single"/>
        </w:rPr>
        <w:t>PLANO RETROSPETIVO</w:t>
      </w:r>
    </w:p>
    <w:p w14:paraId="24642C89" w14:textId="77777777" w:rsidR="004116F7" w:rsidRPr="008A0801" w:rsidRDefault="004116F7" w:rsidP="004116F7">
      <w:pPr>
        <w:spacing w:after="200" w:line="276" w:lineRule="auto"/>
        <w:ind w:left="426"/>
        <w:contextualSpacing/>
        <w:jc w:val="both"/>
        <w:rPr>
          <w:rFonts w:ascii="Tahoma" w:eastAsia="Calibri" w:hAnsi="Tahoma" w:cs="Tahoma"/>
          <w:b/>
          <w:sz w:val="24"/>
          <w:szCs w:val="24"/>
          <w:lang w:val="fr-FR"/>
        </w:rPr>
      </w:pPr>
    </w:p>
    <w:p w14:paraId="320D52BF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O direito das mulheres a participarem plena e equitativamente com os homens em todos os aspetos da vida pública, incluindo o poder judicial, é amplamente reconhecido como um direito humano.</w:t>
      </w:r>
    </w:p>
    <w:p w14:paraId="442C2E19" w14:textId="15C745E3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Até à data, 49 dos 5</w:t>
      </w:r>
      <w:r>
        <w:t xml:space="preserve"> 5 países </w:t>
      </w:r>
      <w:proofErr w:type="gramStart"/>
      <w:r>
        <w:t xml:space="preserve">africanos </w:t>
      </w:r>
      <w:r w:rsidR="00CD4A76">
        <w:t xml:space="preserve"> </w:t>
      </w:r>
      <w:r w:rsidR="00CD4A76" w:rsidRPr="008A0801">
        <w:t>adotaram</w:t>
      </w:r>
      <w:proofErr w:type="gramEnd"/>
      <w:r w:rsidR="00CD4A76" w:rsidRPr="008A0801">
        <w:t xml:space="preserve"> o Protocolo à Carta Africana dos Direitos do Homem e dos Povos sobre os Direitos das Mulheres em África (Protocolo de Maputo). Este importante instrumento regional em matéria de direitos humanos apela à igualdade perante a lei e à representação equitativa das mulheres nos órgãos judiciais e de aplicação da lei (artigo 8.º).</w:t>
      </w:r>
    </w:p>
    <w:p w14:paraId="6DF13E36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 xml:space="preserve"> A participação das mulheres no sistema judicial tornou-se também um importante objetivo global de desenvolvimento. Há amplas provas de que a presença das mulheres nos sistemas judiciais tem múltiplos benefícios. Além de contribuir para o desenvolvimento de instituições judiciais fortes e independentes, promove a igualdade de género e a justiça de género nas sociedades. Além disso, o clima de confiança criado pela mera presença de mulheres no poder judicial tende a capacitar as mulheres vítimas de violência para recorrerem ao sistema de justiça de forma mais frequente e sistemática.</w:t>
      </w:r>
    </w:p>
    <w:p w14:paraId="5AEC823F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 xml:space="preserve">Nos últimos anos, alguns países africanos tomaram medidas para nomear mais mulheres juízas e procuradoras a nível nacional. O número de mulheres juízas aumentou significativamente em países como a Argélia, Angola, Quénia, Lesoto, Moçambique, África do Sul, Tunísia, Zâmbia e Zimbabué. Em </w:t>
      </w:r>
      <w:r w:rsidRPr="008A0801">
        <w:lastRenderedPageBreak/>
        <w:t>alguns países, como o Quénia, o Lesoto e o Zimbabué, as mulheres representam mais de 50% dos juízes.</w:t>
      </w:r>
    </w:p>
    <w:p w14:paraId="3E4D82A1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A nível regional, no Tribunal Africano dos Direitos Humanos e dos Povos, dos 11 juízes, 5 são mulheres, incluindo o Presidente do Tribunal.</w:t>
      </w:r>
    </w:p>
    <w:p w14:paraId="3E9928DD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 xml:space="preserve">Apesar destes esforços, a representação global das mulheres nas instituições judiciais africanas continua a ser muito baixa e a paridade de género nos sistemas judiciais de muitos países do continente ainda não foi alcançada, com muitas juízas menos representadas em cargos de liderança judicial. É o caso, por exemplo, da Somália, do Burkina Faso e da Serra Leoa, onde a representação das mulheres nos cargos de Chefe de Jurisdição continua a ser muito limitada, com as mulheres maioritariamente representadas nos tribunais inferiores ou como secretários. </w:t>
      </w:r>
    </w:p>
    <w:p w14:paraId="14C17FFA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De acordo com o recente estudo sobre as mulheres juízas em África, encomendado pelo PNUD e pela ONU Mulheres (a publicar), apoiado por muitos outros recursos globais, as barreiras à entrada das mulheres no poder judicial em África incluem aspetos culturais, jurídicos, institucionais e sociais não exaustivos, tais como:</w:t>
      </w:r>
    </w:p>
    <w:p w14:paraId="5E575D8E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Estereótipos de género negativos e atitudes baseadas na religião, conceções tradicionais do papel da mulher na família e na sociedade;</w:t>
      </w:r>
    </w:p>
    <w:p w14:paraId="58ACF237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 xml:space="preserve">Limitações nos processos de seleção e recrutamento devido aos compromissos das partes interessadas com a igualdade de género, conforme previsto na legislação internacional e nacional; </w:t>
      </w:r>
    </w:p>
    <w:p w14:paraId="7DD51BD1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 xml:space="preserve">Falta de imparcialidade nos processos de nomeação judicial nos sistemas de </w:t>
      </w:r>
      <w:proofErr w:type="spellStart"/>
      <w:r w:rsidRPr="008A0801">
        <w:t>common</w:t>
      </w:r>
      <w:proofErr w:type="spellEnd"/>
      <w:r w:rsidRPr="008A0801">
        <w:t xml:space="preserve"> </w:t>
      </w:r>
      <w:proofErr w:type="spellStart"/>
      <w:r w:rsidRPr="008A0801">
        <w:t>law</w:t>
      </w:r>
      <w:proofErr w:type="spellEnd"/>
      <w:r w:rsidRPr="008A0801">
        <w:t>;</w:t>
      </w:r>
    </w:p>
    <w:p w14:paraId="73991A15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políticas institucionais sensíveis às questões de género e ausência de estratégias de igualdade de género para o sistema judicial;</w:t>
      </w:r>
    </w:p>
    <w:p w14:paraId="538A8CE4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Falta de orientação, modelos de referência e investimento limitado na sensibilização dos advogados para a entrada na justiça;</w:t>
      </w:r>
    </w:p>
    <w:p w14:paraId="054BEB03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 xml:space="preserve">As barreiras relatadas pelas juízas de acordo com o estudo incluem: discriminação, realocação, críticas de gênero, assédio, preocupações com a segurança, bullying e ameaças físicas, expectativas de equilíbrio entre vida profissional e pessoal e falta de orientação, para citar alguns. </w:t>
      </w:r>
    </w:p>
    <w:p w14:paraId="4C837FF2" w14:textId="77777777" w:rsidR="004116F7" w:rsidRPr="007503D6" w:rsidRDefault="004116F7" w:rsidP="004116F7">
      <w:pPr>
        <w:spacing w:after="200" w:line="276" w:lineRule="auto"/>
        <w:ind w:left="720"/>
        <w:contextualSpacing/>
        <w:jc w:val="both"/>
        <w:rPr>
          <w:rFonts w:ascii="Tahoma" w:eastAsia="Calibri" w:hAnsi="Tahoma" w:cs="Tahoma"/>
        </w:rPr>
      </w:pPr>
    </w:p>
    <w:p w14:paraId="6BD0470B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Outros obstáculos, que vão desde a oposição ideológica à falta de vontade política por parte da autoridade investida do poder de nomeação, constituem obstáculos à progressão das mulheres juízas.</w:t>
      </w:r>
    </w:p>
    <w:p w14:paraId="304272EC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O primeiro Encontro de Mulheres Juízas Africanas é organizado para criar um quadro e um espaço para as mulheres juízas refletirem sobre as barreiras que impedem as mulheres de entrar na carreira judicial, os obstáculos que as juízas enfrentam nas suas carreiras e o seu impacto nos direitos constitucionais das mulheres.</w:t>
      </w:r>
    </w:p>
    <w:p w14:paraId="003FA061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Este evento será uma oportunidade para fazer um balanço da presença das mulheres africanas no sistema judicial, debater e chegar a acordo sobre recomendações concretas sobre as perspetivas futuras, a fim de permitir novos progressos na liderança das mulheres em África como ponto de entrada para uma melhor justiça para todos na região.</w:t>
      </w:r>
    </w:p>
    <w:p w14:paraId="23F85825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lastRenderedPageBreak/>
        <w:t>O Encontro das Mulheres Juízas Africanas é organizado pela Conferência das Jurisdições Constitucionais Africanas (CJCA) e pelo Tribunal Constitucional da República Gabonesa, com o apoio e participação do PNUD, da ONU Mulheres e do UNODC.</w:t>
      </w:r>
    </w:p>
    <w:p w14:paraId="095A520C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O CJCA é uma instituição independente composta por Supremos Tribunais e Jurisdições Constitucionais em África que trabalham em conjunto para assegurar que o poder judicial de cada Estado-Membro aprofunde e apoie a democracia, respeitando a Constituição e o Estado de direito.</w:t>
      </w:r>
    </w:p>
    <w:p w14:paraId="690A469C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Atualmente, 48 entidades constitucionais africanas são membros do CJCA, que tem sua sede em Argel. O evento é organizado em aplicação do Programa de Ação 2023 do CJCA, aprovado pelo seu 6º Congresso realizado em Rabat, Reino de Marrocos, de 22 a 24 de novembro de 2022.</w:t>
      </w:r>
    </w:p>
    <w:p w14:paraId="4A43CDFA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O evento está também em consonância com os compromissos das Nações Unidas e da União Africana sobre os direitos das mulheres e a igualdade de género contidos no Pacto Internacional sobre os Direitos Civis e Políticos (PIDCP), no Pacto Internacional sobre os Direitos Económicos, Sociais e Culturais (PIDESC), na Convenção sobre a Eliminação de Todas as Formas de Discriminação contra as Mulheres (CEDAW),   a Carta Africana dos Direitos Humanos e dos Povos (CADHP), o Protocolo de Maputo, a Carta Árabe dos Direitos Humanos, bem como outros mecanismos como a Agenda 2063 da União Africana e a Agenda 2030 para o Desenvolvimento Sustentável, entre outros.</w:t>
      </w:r>
    </w:p>
    <w:p w14:paraId="2641BA9A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</w:p>
    <w:p w14:paraId="42A06410" w14:textId="77777777" w:rsidR="004116F7" w:rsidRPr="008A0801" w:rsidRDefault="004116F7" w:rsidP="004116F7">
      <w:pPr>
        <w:numPr>
          <w:ilvl w:val="0"/>
          <w:numId w:val="3"/>
        </w:numPr>
        <w:spacing w:after="200" w:line="276" w:lineRule="auto"/>
        <w:ind w:left="567" w:hanging="567"/>
        <w:contextualSpacing/>
        <w:jc w:val="both"/>
        <w:rPr>
          <w:rFonts w:ascii="Tahoma" w:eastAsia="Calibri" w:hAnsi="Tahoma" w:cs="Tahoma"/>
          <w:b/>
          <w:u w:val="single"/>
          <w:lang w:val="fr-FR"/>
        </w:rPr>
      </w:pPr>
      <w:r w:rsidRPr="008A0801">
        <w:rPr>
          <w:b/>
        </w:rPr>
        <w:t>OBJETIVOS:</w:t>
      </w:r>
    </w:p>
    <w:p w14:paraId="1E2B838B" w14:textId="77777777" w:rsidR="004116F7" w:rsidRPr="008A0801" w:rsidRDefault="004116F7" w:rsidP="004116F7">
      <w:pPr>
        <w:spacing w:after="200" w:line="276" w:lineRule="auto"/>
        <w:ind w:left="1080"/>
        <w:contextualSpacing/>
        <w:jc w:val="both"/>
        <w:rPr>
          <w:rFonts w:ascii="Tahoma" w:eastAsia="Calibri" w:hAnsi="Tahoma" w:cs="Tahoma"/>
          <w:lang w:val="fr-FR"/>
        </w:rPr>
      </w:pPr>
    </w:p>
    <w:p w14:paraId="06623B26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rPr>
          <w:u w:val="single"/>
        </w:rPr>
        <w:t>O objetivo geral da</w:t>
      </w:r>
      <w:r w:rsidRPr="008A0801">
        <w:t xml:space="preserve"> reunião é criar uma estrutura e um quadro sustentáveis para as juízas africanas, a fim de facilitar a aprendizagem entre pares e o intercâmbio de boas práticas e lições aprendidas no continente.</w:t>
      </w:r>
    </w:p>
    <w:p w14:paraId="0183D782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rPr>
          <w:u w:val="single"/>
        </w:rPr>
        <w:t>Os objetivos específicos</w:t>
      </w:r>
      <w:r w:rsidRPr="008A0801">
        <w:t xml:space="preserve"> deste evento são:</w:t>
      </w:r>
    </w:p>
    <w:p w14:paraId="39EF3A45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Intercâmbios e balanço sobre a situação da igualdade entre homens e mulheres nos sistemas judiciais em África;</w:t>
      </w:r>
    </w:p>
    <w:p w14:paraId="299B2AB5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Identificação dos principais obstáculos enfrentados pelas mulheres no ingresso na carreira judiciária e pelas juízas na obtenção de promoção no setor da justiça;</w:t>
      </w:r>
    </w:p>
    <w:p w14:paraId="40C22531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Identificação de boas práticas que possam ser replicadas noutros locais;</w:t>
      </w:r>
    </w:p>
    <w:p w14:paraId="73198E8E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Criação da rede de juízas africanas, nomeadamente através de uma plataforma em linha específica;</w:t>
      </w:r>
    </w:p>
    <w:p w14:paraId="367EE1E9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Identificação de medidas concretas e mecanismos de acompanhamento que contribuam para aumentar a presença e o posicionamento estratégico das mulheres nas instituições judiciais;</w:t>
      </w:r>
    </w:p>
    <w:p w14:paraId="3CAD7918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Reflexão sobre a sustentabilidade destes encontros no âmbito de um fórum regional e identificação de possíveis temas a debater em futuras reuniões.</w:t>
      </w:r>
    </w:p>
    <w:p w14:paraId="660B5234" w14:textId="77777777" w:rsidR="004116F7" w:rsidRPr="007503D6" w:rsidRDefault="004116F7" w:rsidP="004116F7">
      <w:pPr>
        <w:spacing w:after="200" w:line="276" w:lineRule="auto"/>
        <w:ind w:left="720"/>
        <w:contextualSpacing/>
        <w:jc w:val="both"/>
        <w:rPr>
          <w:rFonts w:ascii="Tahoma" w:eastAsia="Calibri" w:hAnsi="Tahoma" w:cs="Tahoma"/>
        </w:rPr>
      </w:pPr>
    </w:p>
    <w:p w14:paraId="5B5D6F7A" w14:textId="77777777" w:rsidR="004116F7" w:rsidRPr="008A0801" w:rsidRDefault="004116F7" w:rsidP="004116F7">
      <w:pPr>
        <w:numPr>
          <w:ilvl w:val="0"/>
          <w:numId w:val="3"/>
        </w:numPr>
        <w:spacing w:after="200" w:line="276" w:lineRule="auto"/>
        <w:ind w:left="567" w:hanging="567"/>
        <w:contextualSpacing/>
        <w:jc w:val="both"/>
        <w:rPr>
          <w:rFonts w:ascii="Tahoma" w:eastAsia="Calibri" w:hAnsi="Tahoma" w:cs="Tahoma"/>
          <w:b/>
          <w:lang w:val="fr-FR"/>
        </w:rPr>
      </w:pPr>
      <w:r w:rsidRPr="008A0801">
        <w:rPr>
          <w:b/>
          <w:u w:val="single"/>
        </w:rPr>
        <w:t>RESULTADOS ESPERADOS</w:t>
      </w:r>
      <w:r w:rsidRPr="008A0801">
        <w:rPr>
          <w:b/>
        </w:rPr>
        <w:t>:</w:t>
      </w:r>
    </w:p>
    <w:p w14:paraId="2A8A8C50" w14:textId="77777777" w:rsidR="004116F7" w:rsidRPr="008A0801" w:rsidRDefault="004116F7" w:rsidP="004116F7">
      <w:pPr>
        <w:spacing w:after="200" w:line="276" w:lineRule="auto"/>
        <w:ind w:left="567"/>
        <w:contextualSpacing/>
        <w:jc w:val="both"/>
        <w:rPr>
          <w:rFonts w:ascii="Tahoma" w:eastAsia="Calibri" w:hAnsi="Tahoma" w:cs="Tahoma"/>
          <w:b/>
          <w:lang w:val="fr-FR"/>
        </w:rPr>
      </w:pPr>
    </w:p>
    <w:p w14:paraId="2035AF9B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Criação de uma Rede de Mulheres Juízas Africanas para assegurar o intercâmbio de experiências;</w:t>
      </w:r>
    </w:p>
    <w:p w14:paraId="469E9F48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Maior sensibilização para os benefícios da igualdade de género no sistema judicial, nomeadamente através da partilha de boas práticas noutros países africanos;</w:t>
      </w:r>
    </w:p>
    <w:p w14:paraId="4E515C0E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lastRenderedPageBreak/>
        <w:t>Aumenta a visibilidade regional, o reconhecimento e o empenhamento positivo na emancipação das mulheres na magistratura;</w:t>
      </w:r>
    </w:p>
    <w:p w14:paraId="22456931" w14:textId="77777777" w:rsidR="004116F7" w:rsidRPr="007503D6" w:rsidRDefault="004116F7" w:rsidP="004116F7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Formulação de recomendações e estratégias concretas e exequíveis para atrair e manter as mulheres nos sistemas judiciais de todo o continente, bem como a criação de um mecanismo para monitorizar a implementação dessas recomendações.</w:t>
      </w:r>
    </w:p>
    <w:p w14:paraId="5BE14A0D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</w:p>
    <w:p w14:paraId="6CE2B8F9" w14:textId="77777777" w:rsidR="004116F7" w:rsidRDefault="004116F7" w:rsidP="004116F7">
      <w:pPr>
        <w:numPr>
          <w:ilvl w:val="0"/>
          <w:numId w:val="3"/>
        </w:numPr>
        <w:spacing w:after="200" w:line="276" w:lineRule="auto"/>
        <w:ind w:left="567" w:hanging="567"/>
        <w:contextualSpacing/>
        <w:jc w:val="both"/>
        <w:rPr>
          <w:rFonts w:ascii="Tahoma" w:eastAsia="Calibri" w:hAnsi="Tahoma" w:cs="Tahoma"/>
          <w:b/>
          <w:lang w:val="fr-FR"/>
        </w:rPr>
      </w:pPr>
      <w:r w:rsidRPr="008A0801">
        <w:rPr>
          <w:b/>
          <w:u w:val="single"/>
        </w:rPr>
        <w:t>METODOLOGIA</w:t>
      </w:r>
    </w:p>
    <w:p w14:paraId="50DF2A02" w14:textId="77777777" w:rsidR="004116F7" w:rsidRPr="008A0801" w:rsidRDefault="004116F7" w:rsidP="004116F7">
      <w:pPr>
        <w:spacing w:after="200" w:line="276" w:lineRule="auto"/>
        <w:ind w:left="567"/>
        <w:contextualSpacing/>
        <w:jc w:val="both"/>
        <w:rPr>
          <w:rFonts w:ascii="Tahoma" w:eastAsia="Calibri" w:hAnsi="Tahoma" w:cs="Tahoma"/>
          <w:b/>
          <w:lang w:val="fr-FR"/>
        </w:rPr>
      </w:pPr>
    </w:p>
    <w:p w14:paraId="1C5B6AD1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O Encontro terá lugar de 02 a 06 de maio de 2023 em Libreville (Gabão) e será organizado pelo Tribunal Constitucional da República Gabonesa.</w:t>
      </w:r>
    </w:p>
    <w:p w14:paraId="7A1D9077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O evento será baseado em três sessões conduzidas por um moderador, assistido por um relator e contendo uma apresentação sobre o tema.</w:t>
      </w:r>
    </w:p>
    <w:p w14:paraId="5B3C1C71" w14:textId="77777777" w:rsidR="004116F7" w:rsidRPr="007503D6" w:rsidRDefault="004116F7" w:rsidP="004116F7">
      <w:pPr>
        <w:spacing w:after="200" w:line="276" w:lineRule="auto"/>
        <w:jc w:val="both"/>
        <w:rPr>
          <w:rFonts w:ascii="Tahoma" w:eastAsia="Calibri" w:hAnsi="Tahoma" w:cs="Tahoma"/>
        </w:rPr>
      </w:pPr>
      <w:r w:rsidRPr="008A0801">
        <w:t>O evento será realizado em francês, com interpretação disponível em inglês.</w:t>
      </w:r>
    </w:p>
    <w:p w14:paraId="2C1BF497" w14:textId="77777777" w:rsidR="004116F7" w:rsidRPr="007503D6" w:rsidRDefault="004116F7" w:rsidP="004116F7">
      <w:pPr>
        <w:spacing w:after="0" w:line="276" w:lineRule="auto"/>
        <w:jc w:val="both"/>
        <w:rPr>
          <w:rFonts w:ascii="Tahoma" w:eastAsia="Calibri" w:hAnsi="Tahoma" w:cs="Tahoma"/>
        </w:rPr>
      </w:pPr>
      <w:r w:rsidRPr="008A0801">
        <w:t>As sessões constituirão uma oportunidade para os juízes que representam países com diferentes tradições jurídicas partilharem as suas experiências, em três subtemas:</w:t>
      </w:r>
    </w:p>
    <w:p w14:paraId="47832104" w14:textId="77777777" w:rsidR="004116F7" w:rsidRPr="007503D6" w:rsidRDefault="004116F7" w:rsidP="004116F7">
      <w:pPr>
        <w:spacing w:after="120" w:line="276" w:lineRule="auto"/>
        <w:jc w:val="both"/>
        <w:rPr>
          <w:rFonts w:ascii="Tahoma" w:eastAsia="Calibri" w:hAnsi="Tahoma" w:cs="Tahoma"/>
        </w:rPr>
      </w:pPr>
    </w:p>
    <w:p w14:paraId="0C968055" w14:textId="77777777" w:rsidR="004116F7" w:rsidRPr="007503D6" w:rsidRDefault="004116F7" w:rsidP="004116F7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rPr>
          <w:b/>
          <w:u w:val="single"/>
        </w:rPr>
        <w:t xml:space="preserve">Sessão 1: Panorama </w:t>
      </w:r>
      <w:proofErr w:type="gramStart"/>
      <w:r w:rsidRPr="008A0801">
        <w:rPr>
          <w:b/>
          <w:u w:val="single"/>
        </w:rPr>
        <w:t xml:space="preserve">do </w:t>
      </w:r>
      <w:r w:rsidRPr="008A0801">
        <w:t xml:space="preserve"> Estado</w:t>
      </w:r>
      <w:proofErr w:type="gramEnd"/>
      <w:r w:rsidRPr="008A0801">
        <w:t xml:space="preserve"> da Igualdade de Género e do Empoderamento </w:t>
      </w:r>
      <w:r>
        <w:t xml:space="preserve"> das Mulheres  no Poder Judiciário</w:t>
      </w:r>
      <w:r w:rsidRPr="008A0801">
        <w:rPr>
          <w:b/>
        </w:rPr>
        <w:t>:</w:t>
      </w:r>
      <w:r>
        <w:t xml:space="preserve"> "</w:t>
      </w:r>
      <w:r w:rsidRPr="008A0801">
        <w:rPr>
          <w:b/>
          <w:bCs/>
          <w:i/>
          <w:color w:val="538135" w:themeColor="accent6" w:themeShade="BF"/>
          <w:u w:val="single"/>
        </w:rPr>
        <w:t>Experiência Existente, Melhores Práticas e Identificação de Barreiras à Promoção das Mulheres Juízas em África</w:t>
      </w:r>
      <w:r w:rsidRPr="008A0801">
        <w:rPr>
          <w:b/>
          <w:bCs/>
          <w:color w:val="538135" w:themeColor="accent6" w:themeShade="BF"/>
        </w:rPr>
        <w:t>"</w:t>
      </w:r>
      <w:r>
        <w:t xml:space="preserve"> </w:t>
      </w:r>
    </w:p>
    <w:p w14:paraId="04C5E33F" w14:textId="77777777" w:rsidR="004116F7" w:rsidRPr="007503D6" w:rsidRDefault="004116F7" w:rsidP="004116F7">
      <w:pPr>
        <w:spacing w:after="0" w:line="276" w:lineRule="auto"/>
        <w:jc w:val="both"/>
        <w:rPr>
          <w:rFonts w:ascii="Tahoma" w:eastAsia="Calibri" w:hAnsi="Tahoma" w:cs="Tahoma"/>
        </w:rPr>
      </w:pPr>
      <w:r w:rsidRPr="008A0801">
        <w:t>As apresentações poderiam ser lançadas examinando os obstáculos enfrentados pelas juízas africanas no domínio da justiça em países selecionados e de que forma isso afeta a sua nomeação e promoção. Nesta secção, os juízes de cada sub-região poderiam participar e fazer uma apresentação.</w:t>
      </w:r>
    </w:p>
    <w:p w14:paraId="36AB9B5D" w14:textId="77777777" w:rsidR="004116F7" w:rsidRPr="007503D6" w:rsidRDefault="004116F7" w:rsidP="004116F7">
      <w:pPr>
        <w:spacing w:after="200" w:line="276" w:lineRule="auto"/>
        <w:ind w:left="720"/>
        <w:contextualSpacing/>
        <w:jc w:val="both"/>
        <w:rPr>
          <w:rFonts w:ascii="Tahoma" w:eastAsia="Calibri" w:hAnsi="Tahoma" w:cs="Tahoma"/>
        </w:rPr>
      </w:pPr>
    </w:p>
    <w:p w14:paraId="70741074" w14:textId="77777777" w:rsidR="004116F7" w:rsidRPr="007503D6" w:rsidRDefault="004116F7" w:rsidP="004116F7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rPr>
          <w:b/>
        </w:rPr>
        <w:t>Sessão 2: "</w:t>
      </w:r>
      <w:r w:rsidRPr="008A0801">
        <w:rPr>
          <w:b/>
          <w:bCs/>
          <w:i/>
          <w:color w:val="538135" w:themeColor="accent6" w:themeShade="BF"/>
          <w:u w:val="single"/>
        </w:rPr>
        <w:t>Apoiar as Mulheres no Setor da Justiça: Boas Práticas Existentes e Experiências de Aprendizagem Regionais</w:t>
      </w:r>
      <w:r w:rsidRPr="008A0801">
        <w:rPr>
          <w:b/>
          <w:bCs/>
          <w:color w:val="538135" w:themeColor="accent6" w:themeShade="BF"/>
        </w:rPr>
        <w:t>"</w:t>
      </w:r>
    </w:p>
    <w:p w14:paraId="2FA831E5" w14:textId="77777777" w:rsidR="004116F7" w:rsidRPr="007503D6" w:rsidRDefault="004116F7" w:rsidP="004116F7">
      <w:pPr>
        <w:spacing w:after="0" w:line="276" w:lineRule="auto"/>
        <w:jc w:val="both"/>
        <w:rPr>
          <w:rFonts w:ascii="Tahoma" w:eastAsia="Calibri" w:hAnsi="Tahoma" w:cs="Tahoma"/>
        </w:rPr>
      </w:pPr>
      <w:r w:rsidRPr="008A0801">
        <w:t>Esta sessão será dedicada a discussões sobre boas práticas regionais existentes e experiências de aprendizagem. O PNUD, o UNODC e a ONU Mulheres, bem como os mecanismos da UA, poderão apresentar as suas iniciativas existentes sobre o apoio às mulheres no setor da justiça e promover o intercâmbio de boas experiências.</w:t>
      </w:r>
    </w:p>
    <w:p w14:paraId="628EEC7D" w14:textId="77777777" w:rsidR="004116F7" w:rsidRPr="007503D6" w:rsidRDefault="004116F7" w:rsidP="004116F7">
      <w:pPr>
        <w:spacing w:after="200" w:line="276" w:lineRule="auto"/>
        <w:ind w:left="720"/>
        <w:contextualSpacing/>
        <w:jc w:val="both"/>
        <w:rPr>
          <w:rFonts w:ascii="Tahoma" w:eastAsia="Calibri" w:hAnsi="Tahoma" w:cs="Tahoma"/>
        </w:rPr>
      </w:pPr>
    </w:p>
    <w:p w14:paraId="2013707F" w14:textId="77777777" w:rsidR="004116F7" w:rsidRPr="007503D6" w:rsidRDefault="004116F7" w:rsidP="004116F7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rPr>
          <w:b/>
        </w:rPr>
        <w:t>Sessão 3: "</w:t>
      </w:r>
      <w:r w:rsidRPr="008A0801">
        <w:rPr>
          <w:b/>
          <w:bCs/>
          <w:i/>
          <w:color w:val="538135" w:themeColor="accent6" w:themeShade="BF"/>
          <w:u w:val="single"/>
        </w:rPr>
        <w:t>Identificação de ações a desenvolver para promover as mulheres nos sistemas judiciais em toda a África e garantir o progresso e a transparência no acesso aos empregos judiciais</w:t>
      </w:r>
      <w:r w:rsidRPr="008A0801">
        <w:rPr>
          <w:b/>
          <w:bCs/>
          <w:color w:val="538135" w:themeColor="accent6" w:themeShade="BF"/>
        </w:rPr>
        <w:t>"</w:t>
      </w:r>
    </w:p>
    <w:p w14:paraId="24CF7FFF" w14:textId="77777777" w:rsidR="004116F7" w:rsidRPr="007503D6" w:rsidRDefault="004116F7" w:rsidP="004116F7">
      <w:pPr>
        <w:spacing w:after="0" w:line="276" w:lineRule="auto"/>
        <w:jc w:val="both"/>
        <w:rPr>
          <w:rFonts w:ascii="Tahoma" w:eastAsia="Calibri" w:hAnsi="Tahoma" w:cs="Tahoma"/>
        </w:rPr>
      </w:pPr>
      <w:r w:rsidRPr="008A0801">
        <w:t>Esta sessão será dedicada a reflexões de grupo sobre o caminho a seguir, a elaboração de recomendações concretas e exequíveis, o mecanismo de acompanhamento da implementação dessas recomendações e a reflexão sobre como utilizar esta estrutura regional de forma sustentável.</w:t>
      </w:r>
    </w:p>
    <w:p w14:paraId="476E1488" w14:textId="77777777" w:rsidR="004116F7" w:rsidRPr="007503D6" w:rsidRDefault="004116F7" w:rsidP="004116F7">
      <w:pPr>
        <w:spacing w:after="0" w:line="276" w:lineRule="auto"/>
        <w:jc w:val="both"/>
        <w:rPr>
          <w:rFonts w:ascii="Tahoma" w:eastAsia="Calibri" w:hAnsi="Tahoma" w:cs="Tahoma"/>
        </w:rPr>
      </w:pPr>
    </w:p>
    <w:p w14:paraId="29C934D2" w14:textId="77777777" w:rsidR="004116F7" w:rsidRPr="007503D6" w:rsidRDefault="004116F7" w:rsidP="004116F7">
      <w:pPr>
        <w:spacing w:after="0" w:line="276" w:lineRule="auto"/>
        <w:jc w:val="both"/>
        <w:rPr>
          <w:rFonts w:ascii="Tahoma" w:eastAsia="Calibri" w:hAnsi="Tahoma" w:cs="Tahoma"/>
        </w:rPr>
      </w:pPr>
    </w:p>
    <w:p w14:paraId="26FC293E" w14:textId="77777777" w:rsidR="004116F7" w:rsidRPr="007503D6" w:rsidRDefault="004116F7" w:rsidP="004116F7">
      <w:pPr>
        <w:spacing w:after="0" w:line="276" w:lineRule="auto"/>
        <w:jc w:val="both"/>
        <w:rPr>
          <w:rFonts w:ascii="Tahoma" w:eastAsia="Calibri" w:hAnsi="Tahoma" w:cs="Tahoma"/>
        </w:rPr>
      </w:pPr>
    </w:p>
    <w:p w14:paraId="32C6F7E8" w14:textId="77777777" w:rsidR="004116F7" w:rsidRPr="008A0801" w:rsidRDefault="004116F7" w:rsidP="004116F7">
      <w:pPr>
        <w:numPr>
          <w:ilvl w:val="0"/>
          <w:numId w:val="3"/>
        </w:numPr>
        <w:spacing w:after="200" w:line="276" w:lineRule="auto"/>
        <w:ind w:left="567" w:hanging="567"/>
        <w:contextualSpacing/>
        <w:jc w:val="both"/>
        <w:rPr>
          <w:rFonts w:ascii="Tahoma" w:eastAsia="Calibri" w:hAnsi="Tahoma" w:cs="Tahoma"/>
          <w:b/>
          <w:lang w:val="fr-FR"/>
        </w:rPr>
      </w:pPr>
      <w:r w:rsidRPr="008A0801">
        <w:rPr>
          <w:b/>
        </w:rPr>
        <w:t>PARTICIPANTES:</w:t>
      </w:r>
    </w:p>
    <w:p w14:paraId="16214498" w14:textId="77777777" w:rsidR="004116F7" w:rsidRPr="008A0801" w:rsidRDefault="004116F7" w:rsidP="004116F7">
      <w:pPr>
        <w:spacing w:after="200" w:line="276" w:lineRule="auto"/>
        <w:ind w:left="1080"/>
        <w:contextualSpacing/>
        <w:jc w:val="both"/>
        <w:rPr>
          <w:rFonts w:ascii="Tahoma" w:eastAsia="Calibri" w:hAnsi="Tahoma" w:cs="Tahoma"/>
          <w:b/>
          <w:lang w:val="fr-FR"/>
        </w:rPr>
      </w:pPr>
    </w:p>
    <w:p w14:paraId="15512F5F" w14:textId="77777777" w:rsidR="004116F7" w:rsidRPr="007503D6" w:rsidRDefault="004116F7" w:rsidP="004116F7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 xml:space="preserve">mulheres africanas chefes de jurisdição, vice-presidentes de </w:t>
      </w:r>
      <w:r>
        <w:t>jurisdições, membros</w:t>
      </w:r>
      <w:r w:rsidRPr="008A0801">
        <w:t xml:space="preserve"> e juízas em atividade;</w:t>
      </w:r>
    </w:p>
    <w:p w14:paraId="6693132C" w14:textId="77777777" w:rsidR="004116F7" w:rsidRPr="007503D6" w:rsidRDefault="004116F7" w:rsidP="004116F7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>
        <w:lastRenderedPageBreak/>
        <w:t xml:space="preserve">Peritos ativos no domínio dos direitos das mulheres </w:t>
      </w:r>
      <w:proofErr w:type="gramStart"/>
      <w:r>
        <w:t>africanas ;</w:t>
      </w:r>
      <w:proofErr w:type="gramEnd"/>
    </w:p>
    <w:p w14:paraId="335359A6" w14:textId="77777777" w:rsidR="004116F7" w:rsidRPr="007503D6" w:rsidRDefault="004116F7" w:rsidP="004116F7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Representantes de organizações internacionais e regionais ativas neste domínio.</w:t>
      </w:r>
    </w:p>
    <w:p w14:paraId="1FA306E7" w14:textId="77777777" w:rsidR="004116F7" w:rsidRPr="007503D6" w:rsidRDefault="004116F7" w:rsidP="004116F7">
      <w:pPr>
        <w:spacing w:after="200" w:line="276" w:lineRule="auto"/>
        <w:ind w:left="720"/>
        <w:contextualSpacing/>
        <w:jc w:val="both"/>
        <w:rPr>
          <w:rFonts w:ascii="Tahoma" w:eastAsia="Calibri" w:hAnsi="Tahoma" w:cs="Tahoma"/>
        </w:rPr>
      </w:pPr>
    </w:p>
    <w:p w14:paraId="4C4C9E57" w14:textId="77777777" w:rsidR="004116F7" w:rsidRPr="008A0801" w:rsidRDefault="004116F7" w:rsidP="004116F7">
      <w:pPr>
        <w:numPr>
          <w:ilvl w:val="0"/>
          <w:numId w:val="3"/>
        </w:numPr>
        <w:spacing w:after="200" w:line="276" w:lineRule="auto"/>
        <w:ind w:left="567" w:hanging="567"/>
        <w:contextualSpacing/>
        <w:jc w:val="both"/>
        <w:rPr>
          <w:rFonts w:ascii="Tahoma" w:eastAsia="Calibri" w:hAnsi="Tahoma" w:cs="Tahoma"/>
          <w:b/>
          <w:u w:val="single"/>
          <w:lang w:val="fr-FR"/>
        </w:rPr>
      </w:pPr>
      <w:r w:rsidRPr="008A0801">
        <w:rPr>
          <w:b/>
        </w:rPr>
        <w:t>PARCEIROS:</w:t>
      </w:r>
    </w:p>
    <w:p w14:paraId="326341F4" w14:textId="77777777" w:rsidR="004116F7" w:rsidRPr="008A0801" w:rsidRDefault="004116F7" w:rsidP="004116F7">
      <w:pPr>
        <w:spacing w:after="200" w:line="276" w:lineRule="auto"/>
        <w:ind w:left="567"/>
        <w:contextualSpacing/>
        <w:jc w:val="both"/>
        <w:rPr>
          <w:rFonts w:ascii="Tahoma" w:eastAsia="Calibri" w:hAnsi="Tahoma" w:cs="Tahoma"/>
          <w:b/>
          <w:u w:val="single"/>
          <w:lang w:val="fr-FR"/>
        </w:rPr>
      </w:pPr>
    </w:p>
    <w:p w14:paraId="24E5F905" w14:textId="1B8EA4AD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Programa das Nações Unidas para o Desenvolvimento (PNUD);</w:t>
      </w:r>
    </w:p>
    <w:p w14:paraId="258F0451" w14:textId="77777777" w:rsidR="004116F7" w:rsidRPr="007503D6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</w:rPr>
      </w:pPr>
      <w:r w:rsidRPr="008A0801">
        <w:t>Organização das Nações Unidas sobre Drogas e Crime (UNODC);</w:t>
      </w:r>
    </w:p>
    <w:p w14:paraId="7AA5668C" w14:textId="77777777" w:rsidR="004116F7" w:rsidRPr="008A0801" w:rsidRDefault="004116F7" w:rsidP="004116F7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lang w:val="fr-FR"/>
        </w:rPr>
      </w:pPr>
      <w:r w:rsidRPr="008A0801">
        <w:t xml:space="preserve">ONU </w:t>
      </w:r>
      <w:r>
        <w:t>Mulheres.</w:t>
      </w:r>
    </w:p>
    <w:p w14:paraId="03BB5AF8" w14:textId="21968C7E" w:rsidR="00C43CB2" w:rsidRDefault="00C43CB2" w:rsidP="004116F7">
      <w:pPr>
        <w:tabs>
          <w:tab w:val="left" w:pos="2529"/>
          <w:tab w:val="right" w:pos="7377"/>
        </w:tabs>
        <w:jc w:val="center"/>
        <w:rPr>
          <w:lang w:val="en-US"/>
        </w:rPr>
      </w:pPr>
    </w:p>
    <w:p w14:paraId="73BD99D0" w14:textId="6690691B" w:rsidR="000D3D7C" w:rsidRPr="00B00BA5" w:rsidRDefault="000D3D7C" w:rsidP="006C6F57">
      <w:pPr>
        <w:tabs>
          <w:tab w:val="left" w:pos="2529"/>
          <w:tab w:val="right" w:pos="7377"/>
        </w:tabs>
        <w:rPr>
          <w:lang w:val="en-US"/>
        </w:rPr>
      </w:pPr>
    </w:p>
    <w:p w14:paraId="17C7CA84" w14:textId="5465EDDF" w:rsidR="00761395" w:rsidRPr="00A159AF" w:rsidRDefault="00761395" w:rsidP="00761395">
      <w:pPr>
        <w:tabs>
          <w:tab w:val="left" w:pos="963"/>
        </w:tabs>
        <w:ind w:firstLine="708"/>
        <w:rPr>
          <w:b/>
          <w:bCs/>
          <w:color w:val="0070C0"/>
          <w:sz w:val="28"/>
          <w:szCs w:val="28"/>
          <w:lang w:val="fr-FR"/>
        </w:rPr>
      </w:pPr>
    </w:p>
    <w:sectPr w:rsidR="00761395" w:rsidRPr="00A159AF" w:rsidSect="004A68DB">
      <w:headerReference w:type="default" r:id="rId13"/>
      <w:pgSz w:w="11906" w:h="16838"/>
      <w:pgMar w:top="597" w:right="1417" w:bottom="1417" w:left="1417" w:header="5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11C28" w14:textId="77777777" w:rsidR="00902159" w:rsidRDefault="00902159" w:rsidP="00902159">
      <w:pPr>
        <w:spacing w:after="0" w:line="240" w:lineRule="auto"/>
      </w:pPr>
      <w:r>
        <w:separator/>
      </w:r>
    </w:p>
  </w:endnote>
  <w:endnote w:type="continuationSeparator" w:id="0">
    <w:p w14:paraId="02560D00" w14:textId="77777777" w:rsidR="00902159" w:rsidRDefault="00902159" w:rsidP="00902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C87ED" w14:textId="77777777" w:rsidR="00902159" w:rsidRDefault="00902159" w:rsidP="00902159">
      <w:pPr>
        <w:spacing w:after="0" w:line="240" w:lineRule="auto"/>
      </w:pPr>
      <w:r>
        <w:separator/>
      </w:r>
    </w:p>
  </w:footnote>
  <w:footnote w:type="continuationSeparator" w:id="0">
    <w:p w14:paraId="146DD44A" w14:textId="77777777" w:rsidR="00902159" w:rsidRDefault="00902159" w:rsidP="00902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C6A46" w14:textId="3CF3F2E7" w:rsidR="00212AA9" w:rsidRDefault="00EB3E75">
    <w:pPr>
      <w:pStyle w:val="En-tte"/>
      <w:rPr>
        <w:noProof/>
      </w:rPr>
    </w:pPr>
    <w:r>
      <w:rPr>
        <w:noProof/>
        <w:sz w:val="24"/>
        <w:szCs w:val="24"/>
      </w:rPr>
      <w:t xml:space="preserve">                                                          </w:t>
    </w:r>
    <w:r w:rsidR="001B352D" w:rsidRPr="00EE7ACB">
      <w:rPr>
        <w:noProof/>
        <w:sz w:val="24"/>
        <w:szCs w:val="24"/>
      </w:rPr>
      <w:t xml:space="preserve"> </w:t>
    </w:r>
    <w:bookmarkStart w:id="0" w:name="_Hlk129881145"/>
    <w:bookmarkEnd w:id="0"/>
  </w:p>
  <w:p w14:paraId="4DB5F8E3" w14:textId="2139E4E7" w:rsidR="004A68DB" w:rsidRDefault="00EB3E75">
    <w:pPr>
      <w:pStyle w:val="En-tte"/>
    </w:pPr>
    <w:r>
      <w:rPr>
        <w:noProof/>
      </w:rPr>
      <w:t xml:space="preserve">        </w:t>
    </w:r>
    <w:r w:rsidR="0055069C">
      <w:rPr>
        <w:noProof/>
      </w:rPr>
      <w:t xml:space="preserve">      </w:t>
    </w:r>
    <w:r>
      <w:t xml:space="preserve">            </w:t>
    </w:r>
    <w:r w:rsidR="00E373FD">
      <w:rPr>
        <w:noProof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2DBD"/>
    <w:multiLevelType w:val="hybridMultilevel"/>
    <w:tmpl w:val="827E9E3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155BA"/>
    <w:multiLevelType w:val="hybridMultilevel"/>
    <w:tmpl w:val="E452D7C8"/>
    <w:lvl w:ilvl="0" w:tplc="283C1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C79C6"/>
    <w:multiLevelType w:val="hybridMultilevel"/>
    <w:tmpl w:val="6FB0392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434C3"/>
    <w:multiLevelType w:val="hybridMultilevel"/>
    <w:tmpl w:val="942279B6"/>
    <w:lvl w:ilvl="0" w:tplc="69A093C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C7BCF"/>
    <w:multiLevelType w:val="hybridMultilevel"/>
    <w:tmpl w:val="E47CEBA4"/>
    <w:lvl w:ilvl="0" w:tplc="A75024A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E1F88"/>
    <w:multiLevelType w:val="hybridMultilevel"/>
    <w:tmpl w:val="AE66FEC4"/>
    <w:lvl w:ilvl="0" w:tplc="6A303452">
      <w:start w:val="9"/>
      <w:numFmt w:val="bullet"/>
      <w:lvlText w:val="-"/>
      <w:lvlJc w:val="left"/>
      <w:pPr>
        <w:ind w:left="930" w:hanging="360"/>
      </w:pPr>
      <w:rPr>
        <w:rFonts w:ascii="Calibri" w:eastAsiaTheme="minorHAnsi" w:hAnsi="Calibri" w:cs="Calibr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 w16cid:durableId="1581719305">
    <w:abstractNumId w:val="5"/>
  </w:num>
  <w:num w:numId="2" w16cid:durableId="681472653">
    <w:abstractNumId w:val="0"/>
  </w:num>
  <w:num w:numId="3" w16cid:durableId="313220235">
    <w:abstractNumId w:val="1"/>
  </w:num>
  <w:num w:numId="4" w16cid:durableId="239099499">
    <w:abstractNumId w:val="3"/>
  </w:num>
  <w:num w:numId="5" w16cid:durableId="2011446692">
    <w:abstractNumId w:val="2"/>
  </w:num>
  <w:num w:numId="6" w16cid:durableId="410547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7CA"/>
    <w:rsid w:val="00000265"/>
    <w:rsid w:val="00024841"/>
    <w:rsid w:val="00057E5B"/>
    <w:rsid w:val="0006330D"/>
    <w:rsid w:val="000758CE"/>
    <w:rsid w:val="000A39D0"/>
    <w:rsid w:val="000A71CF"/>
    <w:rsid w:val="000D3D7C"/>
    <w:rsid w:val="00165AE8"/>
    <w:rsid w:val="001661A5"/>
    <w:rsid w:val="001B352D"/>
    <w:rsid w:val="001C0A44"/>
    <w:rsid w:val="001C57C8"/>
    <w:rsid w:val="001F6E06"/>
    <w:rsid w:val="00211F8A"/>
    <w:rsid w:val="00212AA9"/>
    <w:rsid w:val="00235A9C"/>
    <w:rsid w:val="00270D1E"/>
    <w:rsid w:val="0029652F"/>
    <w:rsid w:val="002B14D9"/>
    <w:rsid w:val="002C1C7E"/>
    <w:rsid w:val="002D5848"/>
    <w:rsid w:val="002E6F22"/>
    <w:rsid w:val="00310AE9"/>
    <w:rsid w:val="003467AC"/>
    <w:rsid w:val="003547CA"/>
    <w:rsid w:val="003656CD"/>
    <w:rsid w:val="00365A2B"/>
    <w:rsid w:val="00381C68"/>
    <w:rsid w:val="003A7559"/>
    <w:rsid w:val="003B1ED1"/>
    <w:rsid w:val="003B583C"/>
    <w:rsid w:val="003E0D18"/>
    <w:rsid w:val="004116F7"/>
    <w:rsid w:val="00446E94"/>
    <w:rsid w:val="004A68DB"/>
    <w:rsid w:val="004C7A61"/>
    <w:rsid w:val="004D3280"/>
    <w:rsid w:val="00515C38"/>
    <w:rsid w:val="00520E70"/>
    <w:rsid w:val="0055069C"/>
    <w:rsid w:val="00566663"/>
    <w:rsid w:val="00571FC5"/>
    <w:rsid w:val="005749E5"/>
    <w:rsid w:val="0058325F"/>
    <w:rsid w:val="00595813"/>
    <w:rsid w:val="005A28CC"/>
    <w:rsid w:val="005C387E"/>
    <w:rsid w:val="005D38FD"/>
    <w:rsid w:val="005E4C3F"/>
    <w:rsid w:val="005E53A0"/>
    <w:rsid w:val="005E57BC"/>
    <w:rsid w:val="00626A18"/>
    <w:rsid w:val="006665B1"/>
    <w:rsid w:val="00676746"/>
    <w:rsid w:val="006A23CE"/>
    <w:rsid w:val="006C6F57"/>
    <w:rsid w:val="006F63D3"/>
    <w:rsid w:val="00711BA4"/>
    <w:rsid w:val="00733D8E"/>
    <w:rsid w:val="007503D6"/>
    <w:rsid w:val="0076102F"/>
    <w:rsid w:val="00761395"/>
    <w:rsid w:val="00773488"/>
    <w:rsid w:val="007B16C7"/>
    <w:rsid w:val="007C0E61"/>
    <w:rsid w:val="00821076"/>
    <w:rsid w:val="00867B5C"/>
    <w:rsid w:val="00877184"/>
    <w:rsid w:val="00882EE2"/>
    <w:rsid w:val="0089067C"/>
    <w:rsid w:val="008D16ED"/>
    <w:rsid w:val="00902159"/>
    <w:rsid w:val="009170D8"/>
    <w:rsid w:val="009C1635"/>
    <w:rsid w:val="009D466C"/>
    <w:rsid w:val="009E4944"/>
    <w:rsid w:val="009F7685"/>
    <w:rsid w:val="00A01B63"/>
    <w:rsid w:val="00A05FBA"/>
    <w:rsid w:val="00A153E8"/>
    <w:rsid w:val="00A159AF"/>
    <w:rsid w:val="00A33557"/>
    <w:rsid w:val="00A346DB"/>
    <w:rsid w:val="00A56385"/>
    <w:rsid w:val="00B00BA5"/>
    <w:rsid w:val="00B93B02"/>
    <w:rsid w:val="00BD71FF"/>
    <w:rsid w:val="00C12CD7"/>
    <w:rsid w:val="00C43CB2"/>
    <w:rsid w:val="00C476E8"/>
    <w:rsid w:val="00C641A5"/>
    <w:rsid w:val="00CD4A76"/>
    <w:rsid w:val="00CE217F"/>
    <w:rsid w:val="00CE72CE"/>
    <w:rsid w:val="00D30BAF"/>
    <w:rsid w:val="00D51634"/>
    <w:rsid w:val="00D571F5"/>
    <w:rsid w:val="00DC1A8C"/>
    <w:rsid w:val="00E373FD"/>
    <w:rsid w:val="00E8331E"/>
    <w:rsid w:val="00EB3E75"/>
    <w:rsid w:val="00ED3FCB"/>
    <w:rsid w:val="00F07B79"/>
    <w:rsid w:val="00F20187"/>
    <w:rsid w:val="00F334C9"/>
    <w:rsid w:val="00F60C7B"/>
    <w:rsid w:val="00F67B80"/>
    <w:rsid w:val="00F718BA"/>
    <w:rsid w:val="00F74910"/>
    <w:rsid w:val="00F95A18"/>
    <w:rsid w:val="00FB7441"/>
    <w:rsid w:val="00FD2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663]"/>
    </o:shapedefaults>
    <o:shapelayout v:ext="edit">
      <o:idmap v:ext="edit" data="1"/>
    </o:shapelayout>
  </w:shapeDefaults>
  <w:decimalSymbol w:val=","/>
  <w:listSeparator w:val=";"/>
  <w14:docId w14:val="5EB58D5A"/>
  <w15:docId w15:val="{D07483BC-12D6-4DF3-9795-DC0140A22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385"/>
    <w:rPr>
      <w:lang w:val="pt-PT"/>
    </w:rPr>
  </w:style>
  <w:style w:type="paragraph" w:styleId="Titre1">
    <w:name w:val="heading 1"/>
    <w:basedOn w:val="Normal"/>
    <w:next w:val="Normal"/>
    <w:link w:val="Titre1Car"/>
    <w:uiPriority w:val="9"/>
    <w:qFormat/>
    <w:rsid w:val="007734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1FC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48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PT"/>
    </w:rPr>
  </w:style>
  <w:style w:type="character" w:styleId="Textedelespacerserv">
    <w:name w:val="Placeholder Text"/>
    <w:basedOn w:val="Policepardfaut"/>
    <w:uiPriority w:val="99"/>
    <w:semiHidden/>
    <w:rsid w:val="00165AE8"/>
    <w:rPr>
      <w:color w:val="808080"/>
    </w:rPr>
  </w:style>
  <w:style w:type="paragraph" w:styleId="Rvision">
    <w:name w:val="Revision"/>
    <w:hidden/>
    <w:uiPriority w:val="99"/>
    <w:semiHidden/>
    <w:rsid w:val="009D466C"/>
    <w:pPr>
      <w:spacing w:after="0" w:line="240" w:lineRule="auto"/>
    </w:pPr>
    <w:rPr>
      <w:lang w:val="pt-PT"/>
    </w:rPr>
  </w:style>
  <w:style w:type="character" w:styleId="Marquedecommentaire">
    <w:name w:val="annotation reference"/>
    <w:basedOn w:val="Policepardfaut"/>
    <w:uiPriority w:val="99"/>
    <w:semiHidden/>
    <w:unhideWhenUsed/>
    <w:rsid w:val="00381C6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81C6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81C68"/>
    <w:rPr>
      <w:sz w:val="20"/>
      <w:szCs w:val="20"/>
      <w:lang w:val="pt-P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81C6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1C68"/>
    <w:rPr>
      <w:b/>
      <w:bCs/>
      <w:sz w:val="20"/>
      <w:szCs w:val="20"/>
      <w:lang w:val="pt-PT"/>
    </w:rPr>
  </w:style>
  <w:style w:type="paragraph" w:styleId="En-tte">
    <w:name w:val="header"/>
    <w:basedOn w:val="Normal"/>
    <w:link w:val="En-tteCar"/>
    <w:uiPriority w:val="99"/>
    <w:unhideWhenUsed/>
    <w:rsid w:val="009021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2159"/>
    <w:rPr>
      <w:lang w:val="pt-PT"/>
    </w:rPr>
  </w:style>
  <w:style w:type="paragraph" w:styleId="Pieddepage">
    <w:name w:val="footer"/>
    <w:basedOn w:val="Normal"/>
    <w:link w:val="PieddepageCar"/>
    <w:uiPriority w:val="99"/>
    <w:unhideWhenUsed/>
    <w:rsid w:val="009021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2159"/>
    <w:rPr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4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C6038-0260-49CD-9301-925CA5FE6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1564</Words>
  <Characters>8608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Moussa LARABA</dc:creator>
  <dc:description/>
  <cp:lastModifiedBy>Moussa LARABA</cp:lastModifiedBy>
  <cp:revision>1</cp:revision>
  <dcterms:created xsi:type="dcterms:W3CDTF">2023-03-26T10:59:00Z</dcterms:created>
  <dcterms:modified xsi:type="dcterms:W3CDTF">2023-05-03T10:22:00Z</dcterms:modified>
  <cp:category/>
</cp:coreProperties>
</file>